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64" w:rsidRDefault="00553850">
      <w:pPr>
        <w:rPr>
          <w:rFonts w:asciiTheme="majorHAnsi" w:hAnsiTheme="majorHAnsi" w:cstheme="majorHAnsi"/>
          <w:b/>
          <w:sz w:val="44"/>
          <w:szCs w:val="44"/>
        </w:rPr>
      </w:pPr>
      <w:r>
        <w:rPr>
          <w:rFonts w:asciiTheme="majorHAnsi" w:hAnsiTheme="majorHAnsi" w:cstheme="majorHAnsi"/>
          <w:b/>
          <w:sz w:val="44"/>
          <w:szCs w:val="44"/>
        </w:rPr>
        <w:t>2023</w:t>
      </w:r>
      <w:r w:rsidR="00767964" w:rsidRPr="00767964">
        <w:rPr>
          <w:rFonts w:asciiTheme="majorHAnsi" w:hAnsiTheme="majorHAnsi" w:cstheme="majorHAnsi"/>
          <w:b/>
          <w:sz w:val="44"/>
          <w:szCs w:val="44"/>
        </w:rPr>
        <w:t xml:space="preserve"> FREIGHT SCHEDULE OF CHARGES   </w:t>
      </w:r>
    </w:p>
    <w:tbl>
      <w:tblPr>
        <w:tblStyle w:val="TableGrid"/>
        <w:tblpPr w:leftFromText="180" w:rightFromText="180" w:vertAnchor="text" w:horzAnchor="margin" w:tblpXSpec="right" w:tblpY="762"/>
        <w:tblW w:w="0" w:type="auto"/>
        <w:tblLook w:val="04A0" w:firstRow="1" w:lastRow="0" w:firstColumn="1" w:lastColumn="0" w:noHBand="0" w:noVBand="1"/>
      </w:tblPr>
      <w:tblGrid>
        <w:gridCol w:w="3833"/>
        <w:gridCol w:w="1134"/>
      </w:tblGrid>
      <w:tr w:rsidR="005D79DF" w:rsidRPr="00767964" w:rsidTr="00FE2E5C">
        <w:trPr>
          <w:trHeight w:val="206"/>
        </w:trPr>
        <w:tc>
          <w:tcPr>
            <w:tcW w:w="3833" w:type="dxa"/>
            <w:shd w:val="clear" w:color="auto" w:fill="595959" w:themeFill="text1" w:themeFillTint="A6"/>
          </w:tcPr>
          <w:p w:rsidR="005D79DF" w:rsidRPr="008335DD" w:rsidRDefault="00EC532A" w:rsidP="005D79DF">
            <w:pPr>
              <w:rPr>
                <w:rFonts w:cstheme="minorHAnsi"/>
                <w:color w:val="FFFFFF" w:themeColor="background1"/>
                <w:sz w:val="20"/>
                <w:szCs w:val="20"/>
              </w:rPr>
            </w:pPr>
            <w:r>
              <w:rPr>
                <w:rFonts w:cstheme="minorHAnsi"/>
                <w:color w:val="FFFFFF" w:themeColor="background1"/>
                <w:sz w:val="20"/>
                <w:szCs w:val="20"/>
              </w:rPr>
              <w:t>South Island- Parcels and Boxes</w:t>
            </w:r>
          </w:p>
        </w:tc>
        <w:tc>
          <w:tcPr>
            <w:tcW w:w="1134" w:type="dxa"/>
            <w:shd w:val="clear" w:color="auto" w:fill="595959" w:themeFill="text1" w:themeFillTint="A6"/>
          </w:tcPr>
          <w:p w:rsidR="005D79DF" w:rsidRPr="008335DD" w:rsidRDefault="00FE2E5C" w:rsidP="005D79DF">
            <w:pPr>
              <w:rPr>
                <w:rFonts w:cstheme="minorHAnsi"/>
                <w:color w:val="FFFFFF" w:themeColor="background1"/>
                <w:sz w:val="20"/>
                <w:szCs w:val="20"/>
              </w:rPr>
            </w:pPr>
            <w:r>
              <w:rPr>
                <w:rFonts w:cstheme="minorHAnsi"/>
                <w:color w:val="FFFFFF" w:themeColor="background1"/>
                <w:sz w:val="20"/>
                <w:szCs w:val="20"/>
              </w:rPr>
              <w:t>Price (Ex</w:t>
            </w:r>
            <w:r w:rsidR="008335DD" w:rsidRPr="008335DD">
              <w:rPr>
                <w:rFonts w:cstheme="minorHAnsi"/>
                <w:color w:val="FFFFFF" w:themeColor="background1"/>
                <w:sz w:val="20"/>
                <w:szCs w:val="20"/>
              </w:rPr>
              <w:t xml:space="preserve"> GST)</w:t>
            </w:r>
          </w:p>
        </w:tc>
      </w:tr>
      <w:tr w:rsidR="005D79DF" w:rsidRPr="00767964" w:rsidTr="00FE2E5C">
        <w:trPr>
          <w:trHeight w:val="212"/>
        </w:trPr>
        <w:tc>
          <w:tcPr>
            <w:tcW w:w="3833" w:type="dxa"/>
          </w:tcPr>
          <w:p w:rsidR="005D79DF" w:rsidRPr="00767964" w:rsidRDefault="005D79DF" w:rsidP="005D79DF">
            <w:pPr>
              <w:rPr>
                <w:rFonts w:cstheme="minorHAnsi"/>
                <w:b/>
              </w:rPr>
            </w:pPr>
          </w:p>
        </w:tc>
        <w:tc>
          <w:tcPr>
            <w:tcW w:w="1134" w:type="dxa"/>
          </w:tcPr>
          <w:p w:rsidR="005D79DF" w:rsidRPr="00767964" w:rsidRDefault="005D79DF" w:rsidP="005D79DF">
            <w:pPr>
              <w:rPr>
                <w:rFonts w:cstheme="minorHAnsi"/>
                <w:b/>
              </w:rPr>
            </w:pPr>
          </w:p>
        </w:tc>
      </w:tr>
      <w:tr w:rsidR="005D79DF" w:rsidRPr="00767964" w:rsidTr="00FE2E5C">
        <w:trPr>
          <w:trHeight w:val="206"/>
        </w:trPr>
        <w:tc>
          <w:tcPr>
            <w:tcW w:w="3833" w:type="dxa"/>
          </w:tcPr>
          <w:p w:rsidR="005D79DF" w:rsidRPr="00FE2E5C" w:rsidRDefault="00EC532A" w:rsidP="005D79DF">
            <w:pPr>
              <w:rPr>
                <w:rFonts w:cstheme="minorHAnsi"/>
                <w:sz w:val="20"/>
                <w:szCs w:val="20"/>
              </w:rPr>
            </w:pPr>
            <w:r>
              <w:rPr>
                <w:rFonts w:cstheme="minorHAnsi"/>
                <w:sz w:val="20"/>
                <w:szCs w:val="20"/>
              </w:rPr>
              <w:t>Standard Economy (2-3 business days)</w:t>
            </w:r>
          </w:p>
        </w:tc>
        <w:tc>
          <w:tcPr>
            <w:tcW w:w="1134" w:type="dxa"/>
          </w:tcPr>
          <w:p w:rsidR="005D79DF" w:rsidRPr="00FE2E5C" w:rsidRDefault="008335DD" w:rsidP="00FE2E5C">
            <w:pPr>
              <w:rPr>
                <w:rFonts w:cstheme="minorHAnsi"/>
                <w:sz w:val="20"/>
                <w:szCs w:val="20"/>
              </w:rPr>
            </w:pPr>
            <w:r w:rsidRPr="00FE2E5C">
              <w:rPr>
                <w:rFonts w:cstheme="minorHAnsi"/>
                <w:sz w:val="20"/>
                <w:szCs w:val="20"/>
              </w:rPr>
              <w:t>$</w:t>
            </w:r>
            <w:r w:rsidR="00553850">
              <w:rPr>
                <w:rFonts w:cstheme="minorHAnsi"/>
                <w:sz w:val="20"/>
                <w:szCs w:val="20"/>
              </w:rPr>
              <w:t>11</w:t>
            </w:r>
            <w:r w:rsidR="00FE2E5C">
              <w:rPr>
                <w:rFonts w:cstheme="minorHAnsi"/>
                <w:sz w:val="20"/>
                <w:szCs w:val="20"/>
              </w:rPr>
              <w:t>.00</w:t>
            </w:r>
          </w:p>
        </w:tc>
      </w:tr>
      <w:tr w:rsidR="005D79DF" w:rsidRPr="00767964" w:rsidTr="00FE2E5C">
        <w:trPr>
          <w:trHeight w:val="206"/>
        </w:trPr>
        <w:tc>
          <w:tcPr>
            <w:tcW w:w="3833" w:type="dxa"/>
          </w:tcPr>
          <w:p w:rsidR="005D79DF" w:rsidRPr="00FE2E5C" w:rsidRDefault="00EC532A" w:rsidP="005D79DF">
            <w:pPr>
              <w:rPr>
                <w:rFonts w:cstheme="minorHAnsi"/>
                <w:sz w:val="20"/>
                <w:szCs w:val="20"/>
              </w:rPr>
            </w:pPr>
            <w:r w:rsidRPr="00EC532A">
              <w:rPr>
                <w:rFonts w:cstheme="minorHAnsi"/>
                <w:sz w:val="20"/>
                <w:szCs w:val="20"/>
              </w:rPr>
              <w:t>Rural additional charge</w:t>
            </w:r>
          </w:p>
        </w:tc>
        <w:tc>
          <w:tcPr>
            <w:tcW w:w="1134" w:type="dxa"/>
          </w:tcPr>
          <w:p w:rsidR="005D79DF" w:rsidRPr="00FE2E5C" w:rsidRDefault="00BB7566" w:rsidP="00EC532A">
            <w:pPr>
              <w:rPr>
                <w:rFonts w:cstheme="minorHAnsi"/>
                <w:sz w:val="20"/>
                <w:szCs w:val="20"/>
              </w:rPr>
            </w:pPr>
            <w:r>
              <w:rPr>
                <w:rFonts w:cstheme="minorHAnsi"/>
                <w:sz w:val="20"/>
                <w:szCs w:val="20"/>
              </w:rPr>
              <w:t>$3</w:t>
            </w:r>
            <w:r w:rsidR="00EC532A">
              <w:rPr>
                <w:rFonts w:cstheme="minorHAnsi"/>
                <w:sz w:val="20"/>
                <w:szCs w:val="20"/>
              </w:rPr>
              <w:t>.50</w:t>
            </w:r>
          </w:p>
        </w:tc>
      </w:tr>
      <w:tr w:rsidR="005D79DF" w:rsidRPr="00767964" w:rsidTr="00FE2E5C">
        <w:trPr>
          <w:trHeight w:val="212"/>
        </w:trPr>
        <w:tc>
          <w:tcPr>
            <w:tcW w:w="3833" w:type="dxa"/>
          </w:tcPr>
          <w:p w:rsidR="005D79DF" w:rsidRPr="00EC532A" w:rsidRDefault="00553850" w:rsidP="005D79DF">
            <w:pPr>
              <w:rPr>
                <w:rFonts w:cstheme="minorHAnsi"/>
                <w:sz w:val="20"/>
                <w:szCs w:val="20"/>
              </w:rPr>
            </w:pPr>
            <w:r>
              <w:rPr>
                <w:rFonts w:cstheme="minorHAnsi"/>
                <w:sz w:val="20"/>
                <w:szCs w:val="20"/>
              </w:rPr>
              <w:t xml:space="preserve">Printers to be quoted </w:t>
            </w:r>
          </w:p>
        </w:tc>
        <w:tc>
          <w:tcPr>
            <w:tcW w:w="1134" w:type="dxa"/>
          </w:tcPr>
          <w:p w:rsidR="005D79DF" w:rsidRPr="00767964" w:rsidRDefault="005D79DF" w:rsidP="005D79DF">
            <w:pPr>
              <w:rPr>
                <w:rFonts w:cstheme="minorHAnsi"/>
                <w:b/>
              </w:rPr>
            </w:pPr>
          </w:p>
        </w:tc>
      </w:tr>
      <w:tr w:rsidR="005D79DF" w:rsidRPr="00767964" w:rsidTr="00FE2E5C">
        <w:trPr>
          <w:trHeight w:val="206"/>
        </w:trPr>
        <w:tc>
          <w:tcPr>
            <w:tcW w:w="3833" w:type="dxa"/>
          </w:tcPr>
          <w:p w:rsidR="005D79DF" w:rsidRPr="00767964" w:rsidRDefault="005D79DF" w:rsidP="005D79DF">
            <w:pPr>
              <w:rPr>
                <w:rFonts w:cstheme="minorHAnsi"/>
                <w:b/>
              </w:rPr>
            </w:pPr>
          </w:p>
        </w:tc>
        <w:tc>
          <w:tcPr>
            <w:tcW w:w="1134" w:type="dxa"/>
          </w:tcPr>
          <w:p w:rsidR="005D79DF" w:rsidRPr="00767964" w:rsidRDefault="005D79DF" w:rsidP="005D79DF">
            <w:pPr>
              <w:rPr>
                <w:rFonts w:cstheme="minorHAnsi"/>
                <w:b/>
              </w:rPr>
            </w:pPr>
          </w:p>
        </w:tc>
      </w:tr>
    </w:tbl>
    <w:p w:rsidR="00767964" w:rsidRDefault="00767964">
      <w:pPr>
        <w:rPr>
          <w:rFonts w:asciiTheme="majorHAnsi" w:hAnsiTheme="majorHAnsi" w:cstheme="majorHAnsi"/>
          <w:b/>
          <w:sz w:val="44"/>
          <w:szCs w:val="44"/>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3622"/>
        <w:gridCol w:w="1161"/>
      </w:tblGrid>
      <w:tr w:rsidR="00767964" w:rsidRPr="00767964" w:rsidTr="00FE2E5C">
        <w:trPr>
          <w:trHeight w:val="212"/>
        </w:trPr>
        <w:tc>
          <w:tcPr>
            <w:tcW w:w="3622" w:type="dxa"/>
            <w:shd w:val="clear" w:color="auto" w:fill="595959" w:themeFill="text1" w:themeFillTint="A6"/>
          </w:tcPr>
          <w:p w:rsidR="00767964" w:rsidRPr="008335DD" w:rsidRDefault="008335DD" w:rsidP="00FE2E5C">
            <w:pPr>
              <w:rPr>
                <w:rFonts w:cstheme="minorHAnsi"/>
                <w:color w:val="FFFFFF" w:themeColor="background1"/>
                <w:sz w:val="20"/>
                <w:szCs w:val="20"/>
              </w:rPr>
            </w:pPr>
            <w:r w:rsidRPr="008335DD">
              <w:rPr>
                <w:rFonts w:cstheme="minorHAnsi"/>
                <w:color w:val="FFFFFF" w:themeColor="background1"/>
                <w:sz w:val="20"/>
                <w:szCs w:val="20"/>
              </w:rPr>
              <w:t xml:space="preserve">Service </w:t>
            </w:r>
            <w:r w:rsidR="00EC532A">
              <w:rPr>
                <w:rFonts w:cstheme="minorHAnsi"/>
                <w:color w:val="FFFFFF" w:themeColor="background1"/>
                <w:sz w:val="20"/>
                <w:szCs w:val="20"/>
              </w:rPr>
              <w:t>–</w:t>
            </w:r>
            <w:r w:rsidRPr="008335DD">
              <w:rPr>
                <w:rFonts w:cstheme="minorHAnsi"/>
                <w:color w:val="FFFFFF" w:themeColor="background1"/>
                <w:sz w:val="20"/>
                <w:szCs w:val="20"/>
              </w:rPr>
              <w:t xml:space="preserve"> Parcels</w:t>
            </w:r>
            <w:r w:rsidR="00EC532A">
              <w:rPr>
                <w:rFonts w:cstheme="minorHAnsi"/>
                <w:color w:val="FFFFFF" w:themeColor="background1"/>
                <w:sz w:val="20"/>
                <w:szCs w:val="20"/>
              </w:rPr>
              <w:t xml:space="preserve"> and Boxes</w:t>
            </w:r>
          </w:p>
        </w:tc>
        <w:tc>
          <w:tcPr>
            <w:tcW w:w="1161" w:type="dxa"/>
            <w:shd w:val="clear" w:color="auto" w:fill="595959" w:themeFill="text1" w:themeFillTint="A6"/>
          </w:tcPr>
          <w:p w:rsidR="00767964" w:rsidRPr="008335DD" w:rsidRDefault="00FE2E5C" w:rsidP="00FE2E5C">
            <w:pPr>
              <w:rPr>
                <w:rFonts w:cstheme="minorHAnsi"/>
                <w:color w:val="FFFFFF" w:themeColor="background1"/>
                <w:sz w:val="20"/>
                <w:szCs w:val="20"/>
              </w:rPr>
            </w:pPr>
            <w:r>
              <w:rPr>
                <w:rFonts w:cstheme="minorHAnsi"/>
                <w:color w:val="FFFFFF" w:themeColor="background1"/>
                <w:sz w:val="20"/>
                <w:szCs w:val="20"/>
              </w:rPr>
              <w:t>Price (Ex</w:t>
            </w:r>
            <w:r w:rsidR="008335DD" w:rsidRPr="008335DD">
              <w:rPr>
                <w:rFonts w:cstheme="minorHAnsi"/>
                <w:color w:val="FFFFFF" w:themeColor="background1"/>
                <w:sz w:val="20"/>
                <w:szCs w:val="20"/>
              </w:rPr>
              <w:t xml:space="preserve"> GST)</w:t>
            </w:r>
          </w:p>
        </w:tc>
      </w:tr>
      <w:tr w:rsidR="00767964" w:rsidRPr="00767964" w:rsidTr="00FE2E5C">
        <w:trPr>
          <w:trHeight w:val="218"/>
        </w:trPr>
        <w:tc>
          <w:tcPr>
            <w:tcW w:w="3622" w:type="dxa"/>
          </w:tcPr>
          <w:p w:rsidR="00767964" w:rsidRPr="00767964" w:rsidRDefault="00767964" w:rsidP="00FE2E5C">
            <w:pPr>
              <w:rPr>
                <w:rFonts w:cstheme="minorHAnsi"/>
                <w:b/>
              </w:rPr>
            </w:pPr>
          </w:p>
        </w:tc>
        <w:tc>
          <w:tcPr>
            <w:tcW w:w="1161" w:type="dxa"/>
          </w:tcPr>
          <w:p w:rsidR="00767964" w:rsidRPr="00767964" w:rsidRDefault="00767964" w:rsidP="00FE2E5C">
            <w:pPr>
              <w:rPr>
                <w:rFonts w:cstheme="minorHAnsi"/>
                <w:b/>
              </w:rPr>
            </w:pPr>
          </w:p>
        </w:tc>
      </w:tr>
      <w:tr w:rsidR="00767964" w:rsidRPr="00767964" w:rsidTr="00FE2E5C">
        <w:trPr>
          <w:trHeight w:val="212"/>
        </w:trPr>
        <w:tc>
          <w:tcPr>
            <w:tcW w:w="3622" w:type="dxa"/>
          </w:tcPr>
          <w:p w:rsidR="00767964" w:rsidRPr="008335DD" w:rsidRDefault="008335DD" w:rsidP="00FE2E5C">
            <w:pPr>
              <w:rPr>
                <w:rFonts w:cstheme="minorHAnsi"/>
                <w:sz w:val="20"/>
                <w:szCs w:val="20"/>
              </w:rPr>
            </w:pPr>
            <w:r w:rsidRPr="008335DD">
              <w:rPr>
                <w:rFonts w:cstheme="minorHAnsi"/>
                <w:sz w:val="20"/>
                <w:szCs w:val="20"/>
              </w:rPr>
              <w:t>Auckland</w:t>
            </w:r>
          </w:p>
        </w:tc>
        <w:tc>
          <w:tcPr>
            <w:tcW w:w="1161" w:type="dxa"/>
          </w:tcPr>
          <w:p w:rsidR="00767964" w:rsidRPr="008335DD" w:rsidRDefault="00553850" w:rsidP="00FE2E5C">
            <w:pPr>
              <w:rPr>
                <w:rFonts w:cstheme="minorHAnsi"/>
                <w:sz w:val="20"/>
                <w:szCs w:val="20"/>
              </w:rPr>
            </w:pPr>
            <w:r>
              <w:rPr>
                <w:rFonts w:cstheme="minorHAnsi"/>
                <w:sz w:val="20"/>
                <w:szCs w:val="20"/>
              </w:rPr>
              <w:t>$5.00</w:t>
            </w:r>
          </w:p>
        </w:tc>
      </w:tr>
      <w:tr w:rsidR="00767964" w:rsidRPr="00767964" w:rsidTr="00FE2E5C">
        <w:trPr>
          <w:trHeight w:val="218"/>
        </w:trPr>
        <w:tc>
          <w:tcPr>
            <w:tcW w:w="3622" w:type="dxa"/>
          </w:tcPr>
          <w:p w:rsidR="00767964" w:rsidRPr="008335DD" w:rsidRDefault="008335DD" w:rsidP="00FE2E5C">
            <w:pPr>
              <w:rPr>
                <w:rFonts w:cstheme="minorHAnsi"/>
                <w:sz w:val="20"/>
                <w:szCs w:val="20"/>
              </w:rPr>
            </w:pPr>
            <w:r>
              <w:rPr>
                <w:rFonts w:cstheme="minorHAnsi"/>
                <w:sz w:val="20"/>
                <w:szCs w:val="20"/>
              </w:rPr>
              <w:t>North Island</w:t>
            </w:r>
          </w:p>
        </w:tc>
        <w:tc>
          <w:tcPr>
            <w:tcW w:w="1161" w:type="dxa"/>
          </w:tcPr>
          <w:p w:rsidR="00767964" w:rsidRPr="008335DD" w:rsidRDefault="008335DD" w:rsidP="00FE2E5C">
            <w:pPr>
              <w:rPr>
                <w:rFonts w:cstheme="minorHAnsi"/>
                <w:sz w:val="20"/>
                <w:szCs w:val="20"/>
              </w:rPr>
            </w:pPr>
            <w:r w:rsidRPr="008335DD">
              <w:rPr>
                <w:rFonts w:cstheme="minorHAnsi"/>
                <w:sz w:val="20"/>
                <w:szCs w:val="20"/>
              </w:rPr>
              <w:t>$7.50</w:t>
            </w:r>
          </w:p>
        </w:tc>
      </w:tr>
      <w:tr w:rsidR="00767964" w:rsidRPr="00767964" w:rsidTr="00FE2E5C">
        <w:trPr>
          <w:trHeight w:val="212"/>
        </w:trPr>
        <w:tc>
          <w:tcPr>
            <w:tcW w:w="3622" w:type="dxa"/>
          </w:tcPr>
          <w:p w:rsidR="00767964" w:rsidRPr="008335DD" w:rsidRDefault="008335DD" w:rsidP="00FE2E5C">
            <w:pPr>
              <w:rPr>
                <w:rFonts w:cstheme="minorHAnsi"/>
                <w:sz w:val="20"/>
                <w:szCs w:val="20"/>
              </w:rPr>
            </w:pPr>
            <w:r>
              <w:rPr>
                <w:rFonts w:cstheme="minorHAnsi"/>
                <w:sz w:val="20"/>
                <w:szCs w:val="20"/>
              </w:rPr>
              <w:t>South Island</w:t>
            </w:r>
          </w:p>
        </w:tc>
        <w:tc>
          <w:tcPr>
            <w:tcW w:w="1161" w:type="dxa"/>
          </w:tcPr>
          <w:p w:rsidR="00767964" w:rsidRPr="008335DD" w:rsidRDefault="00553850" w:rsidP="00FE2E5C">
            <w:pPr>
              <w:rPr>
                <w:rFonts w:cstheme="minorHAnsi"/>
                <w:sz w:val="20"/>
                <w:szCs w:val="20"/>
              </w:rPr>
            </w:pPr>
            <w:r>
              <w:rPr>
                <w:rFonts w:cstheme="minorHAnsi"/>
                <w:sz w:val="20"/>
                <w:szCs w:val="20"/>
              </w:rPr>
              <w:t>$11</w:t>
            </w:r>
            <w:r w:rsidR="008335DD" w:rsidRPr="008335DD">
              <w:rPr>
                <w:rFonts w:cstheme="minorHAnsi"/>
                <w:sz w:val="20"/>
                <w:szCs w:val="20"/>
              </w:rPr>
              <w:t>.00</w:t>
            </w:r>
          </w:p>
        </w:tc>
      </w:tr>
      <w:tr w:rsidR="00767964" w:rsidRPr="00767964" w:rsidTr="00FE2E5C">
        <w:trPr>
          <w:trHeight w:val="218"/>
        </w:trPr>
        <w:tc>
          <w:tcPr>
            <w:tcW w:w="3622" w:type="dxa"/>
          </w:tcPr>
          <w:p w:rsidR="00767964" w:rsidRPr="008335DD" w:rsidRDefault="00FE2E5C" w:rsidP="00FE2E5C">
            <w:pPr>
              <w:rPr>
                <w:rFonts w:cstheme="minorHAnsi"/>
                <w:sz w:val="20"/>
                <w:szCs w:val="20"/>
              </w:rPr>
            </w:pPr>
            <w:r>
              <w:rPr>
                <w:rFonts w:cstheme="minorHAnsi"/>
                <w:sz w:val="20"/>
                <w:szCs w:val="20"/>
              </w:rPr>
              <w:t>Rural / Waiheke Island additional charge</w:t>
            </w:r>
          </w:p>
        </w:tc>
        <w:tc>
          <w:tcPr>
            <w:tcW w:w="1161" w:type="dxa"/>
          </w:tcPr>
          <w:p w:rsidR="00767964" w:rsidRPr="008335DD" w:rsidRDefault="00BB7566" w:rsidP="00FE2E5C">
            <w:pPr>
              <w:rPr>
                <w:rFonts w:cstheme="minorHAnsi"/>
                <w:sz w:val="20"/>
                <w:szCs w:val="20"/>
              </w:rPr>
            </w:pPr>
            <w:r>
              <w:rPr>
                <w:rFonts w:cstheme="minorHAnsi"/>
                <w:sz w:val="20"/>
                <w:szCs w:val="20"/>
              </w:rPr>
              <w:t>$3</w:t>
            </w:r>
            <w:r w:rsidR="00FE2E5C">
              <w:rPr>
                <w:rFonts w:cstheme="minorHAnsi"/>
                <w:sz w:val="20"/>
                <w:szCs w:val="20"/>
              </w:rPr>
              <w:t>.50</w:t>
            </w:r>
          </w:p>
        </w:tc>
      </w:tr>
      <w:tr w:rsidR="00767964" w:rsidRPr="00767964" w:rsidTr="00FE2E5C">
        <w:trPr>
          <w:trHeight w:val="212"/>
        </w:trPr>
        <w:tc>
          <w:tcPr>
            <w:tcW w:w="3622" w:type="dxa"/>
          </w:tcPr>
          <w:p w:rsidR="00767964" w:rsidRPr="008335DD" w:rsidRDefault="00553850" w:rsidP="00FE2E5C">
            <w:pPr>
              <w:rPr>
                <w:rFonts w:cstheme="minorHAnsi"/>
                <w:sz w:val="20"/>
                <w:szCs w:val="20"/>
              </w:rPr>
            </w:pPr>
            <w:r>
              <w:rPr>
                <w:rFonts w:cstheme="minorHAnsi"/>
                <w:sz w:val="20"/>
                <w:szCs w:val="20"/>
              </w:rPr>
              <w:t xml:space="preserve">Printers to be quoted </w:t>
            </w:r>
          </w:p>
        </w:tc>
        <w:tc>
          <w:tcPr>
            <w:tcW w:w="1161" w:type="dxa"/>
          </w:tcPr>
          <w:p w:rsidR="00767964" w:rsidRPr="008335DD" w:rsidRDefault="00767964" w:rsidP="00FE2E5C">
            <w:pPr>
              <w:rPr>
                <w:rFonts w:cstheme="minorHAnsi"/>
                <w:sz w:val="20"/>
                <w:szCs w:val="20"/>
              </w:rPr>
            </w:pPr>
          </w:p>
        </w:tc>
      </w:tr>
    </w:tbl>
    <w:tbl>
      <w:tblPr>
        <w:tblStyle w:val="TableGrid"/>
        <w:tblpPr w:leftFromText="180" w:rightFromText="180" w:vertAnchor="text" w:horzAnchor="margin" w:tblpXSpec="right" w:tblpY="30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8335DD" w:rsidTr="00FE2E5C">
        <w:trPr>
          <w:trHeight w:val="2915"/>
        </w:trPr>
        <w:tc>
          <w:tcPr>
            <w:tcW w:w="5098" w:type="dxa"/>
          </w:tcPr>
          <w:p w:rsidR="008335DD" w:rsidRPr="005D79DF" w:rsidRDefault="008335DD" w:rsidP="00B27B1A">
            <w:pPr>
              <w:rPr>
                <w:rFonts w:cstheme="minorHAnsi"/>
                <w:b/>
                <w:sz w:val="16"/>
                <w:szCs w:val="16"/>
              </w:rPr>
            </w:pPr>
            <w:r w:rsidRPr="005D79DF">
              <w:rPr>
                <w:sz w:val="16"/>
                <w:szCs w:val="16"/>
              </w:rPr>
              <w:t xml:space="preserve">Terms and conditions apply. All prices are correct at time of publication but are subject to change without prior notice. Errors and omissions excluded. </w:t>
            </w:r>
            <w:r w:rsidR="00B27B1A">
              <w:rPr>
                <w:sz w:val="16"/>
                <w:szCs w:val="16"/>
              </w:rPr>
              <w:t>For business addresses, p</w:t>
            </w:r>
            <w:r w:rsidRPr="005D79DF">
              <w:rPr>
                <w:sz w:val="16"/>
                <w:szCs w:val="16"/>
              </w:rPr>
              <w:t>lease ensure you / your customer will be available to accept the goods between 8:30am and 5:00pm on the day of delivery. Although every care is taken by Dynamic Supplies to ensure accurate delivery to your Customer, we do not accept liability for losses occurring at point of delivery. Notwithstanding this, where it is proven that the goods have been short supplied, lost or damaged in transit, Dynamic Supplies will replace the goods pr</w:t>
            </w:r>
            <w:r w:rsidR="00B27B1A">
              <w:rPr>
                <w:sz w:val="16"/>
                <w:szCs w:val="16"/>
              </w:rPr>
              <w:t>ovided we are notified within 72</w:t>
            </w:r>
            <w:r w:rsidRPr="005D79DF">
              <w:rPr>
                <w:sz w:val="16"/>
                <w:szCs w:val="16"/>
              </w:rPr>
              <w:t xml:space="preserve"> hours and subsequently validated by Dynamic Supplies. Dynamic Supplies accepts no responsibility for missing / lost goods where the recipient has an Authority to Leave (ATL) agreement with the delivering transport company and the goods are shown to have been delivered.</w:t>
            </w:r>
          </w:p>
        </w:tc>
      </w:tr>
    </w:tbl>
    <w:p w:rsidR="008335DD" w:rsidRDefault="005D79DF">
      <w:pPr>
        <w:rPr>
          <w:rFonts w:cstheme="minorHAnsi"/>
          <w:b/>
        </w:rPr>
      </w:pPr>
      <w:r>
        <w:rPr>
          <w:rFonts w:cstheme="minorHAnsi"/>
          <w:b/>
        </w:rPr>
        <w:br w:type="textWrapping" w:clear="all"/>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tblGrid>
      <w:tr w:rsidR="008335DD" w:rsidTr="00FE2E5C">
        <w:trPr>
          <w:trHeight w:val="2607"/>
        </w:trPr>
        <w:tc>
          <w:tcPr>
            <w:tcW w:w="4941" w:type="dxa"/>
          </w:tcPr>
          <w:p w:rsidR="008335DD" w:rsidRPr="005D79DF" w:rsidRDefault="008335DD" w:rsidP="008335DD">
            <w:pPr>
              <w:rPr>
                <w:rFonts w:cstheme="minorHAnsi"/>
                <w:b/>
                <w:i/>
                <w:sz w:val="28"/>
                <w:szCs w:val="28"/>
              </w:rPr>
            </w:pPr>
            <w:r w:rsidRPr="005D79DF">
              <w:rPr>
                <w:rFonts w:cstheme="minorHAnsi"/>
                <w:b/>
                <w:i/>
                <w:sz w:val="28"/>
                <w:szCs w:val="28"/>
              </w:rPr>
              <w:t xml:space="preserve">For all your hardware and bulk orders please contact your Dynamic Supplies representative to calculate the quickest and most cost effective delivery option available for your order. </w:t>
            </w:r>
          </w:p>
          <w:p w:rsidR="008335DD" w:rsidRPr="005D79DF" w:rsidRDefault="008335DD" w:rsidP="008335DD">
            <w:pPr>
              <w:rPr>
                <w:rFonts w:cstheme="minorHAnsi"/>
                <w:b/>
                <w:i/>
                <w:sz w:val="28"/>
                <w:szCs w:val="28"/>
              </w:rPr>
            </w:pPr>
          </w:p>
          <w:p w:rsidR="008335DD" w:rsidRPr="005D79DF" w:rsidRDefault="008335DD" w:rsidP="008335DD">
            <w:pPr>
              <w:rPr>
                <w:rFonts w:cstheme="minorHAnsi"/>
                <w:b/>
                <w:i/>
                <w:sz w:val="28"/>
                <w:szCs w:val="28"/>
              </w:rPr>
            </w:pPr>
            <w:r w:rsidRPr="005D79DF">
              <w:rPr>
                <w:rFonts w:cstheme="minorHAnsi"/>
                <w:b/>
                <w:i/>
                <w:sz w:val="28"/>
                <w:szCs w:val="28"/>
              </w:rPr>
              <w:t>All freight charges are calculated based on either cubic or dead weight - whichever is greatest.</w:t>
            </w:r>
          </w:p>
          <w:p w:rsidR="008335DD" w:rsidRDefault="008335DD">
            <w:pPr>
              <w:rPr>
                <w:rFonts w:cstheme="minorHAnsi"/>
                <w:b/>
              </w:rPr>
            </w:pPr>
          </w:p>
        </w:tc>
      </w:tr>
    </w:tbl>
    <w:p w:rsidR="00767964" w:rsidRDefault="00767964">
      <w:pPr>
        <w:rPr>
          <w:rFonts w:cstheme="minorHAnsi"/>
          <w:b/>
        </w:rPr>
      </w:pPr>
      <w:bookmarkStart w:id="0" w:name="_GoBack"/>
      <w:bookmarkEnd w:id="0"/>
    </w:p>
    <w:sectPr w:rsidR="00767964" w:rsidSect="00FE2E5C">
      <w:pgSz w:w="11906" w:h="16838"/>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64"/>
    <w:rsid w:val="00093B0E"/>
    <w:rsid w:val="00553850"/>
    <w:rsid w:val="005D79DF"/>
    <w:rsid w:val="00767964"/>
    <w:rsid w:val="008335DD"/>
    <w:rsid w:val="00B05346"/>
    <w:rsid w:val="00B27B1A"/>
    <w:rsid w:val="00BB7566"/>
    <w:rsid w:val="00EA718A"/>
    <w:rsid w:val="00EC532A"/>
    <w:rsid w:val="00FE2E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50D88-CFDC-48A2-BA55-40276FE5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Pietersen</dc:creator>
  <cp:keywords/>
  <dc:description/>
  <cp:lastModifiedBy>Marie Helm</cp:lastModifiedBy>
  <cp:revision>2</cp:revision>
  <dcterms:created xsi:type="dcterms:W3CDTF">2023-02-20T03:35:00Z</dcterms:created>
  <dcterms:modified xsi:type="dcterms:W3CDTF">2023-02-20T03:35:00Z</dcterms:modified>
</cp:coreProperties>
</file>